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76" w:before="0" w:after="0"/>
        <w:jc w:val="center"/>
        <w:rPr/>
      </w:pPr>
      <w:r>
        <w:rPr>
          <w:rFonts w:eastAsia="Times New Roman" w:cs="Arial" w:ascii="Arial" w:hAnsi="Arial"/>
          <w:b/>
          <w:bCs/>
          <w:color w:val="2C2E36"/>
          <w:sz w:val="24"/>
          <w:szCs w:val="24"/>
          <w:u w:val="single"/>
          <w:lang w:eastAsia="pl-PL"/>
        </w:rPr>
        <w:t>Deklaracja dostępności Poradni Psychologiczno-Pedagogicznej Nr 2</w:t>
      </w:r>
    </w:p>
    <w:p>
      <w:pPr>
        <w:pStyle w:val="Normal"/>
        <w:shd w:val="clear" w:color="auto" w:fill="FFFFFF"/>
        <w:spacing w:lineRule="auto" w:line="276" w:before="0" w:after="0"/>
        <w:jc w:val="center"/>
        <w:rPr/>
      </w:pPr>
      <w:r>
        <w:rPr>
          <w:rFonts w:eastAsia="Times New Roman" w:cs="Arial" w:ascii="Arial" w:hAnsi="Arial"/>
          <w:color w:val="2C2E36"/>
          <w:sz w:val="24"/>
          <w:szCs w:val="24"/>
          <w:lang w:eastAsia="pl-PL"/>
        </w:rPr>
        <w:t> </w:t>
      </w:r>
    </w:p>
    <w:p>
      <w:pPr>
        <w:pStyle w:val="Normal"/>
        <w:shd w:val="clear" w:color="auto" w:fill="FFFFFF"/>
        <w:spacing w:lineRule="auto" w:line="276" w:before="0" w:after="0"/>
        <w:jc w:val="both"/>
        <w:rPr/>
      </w:pPr>
      <w:r>
        <w:rPr>
          <w:rFonts w:eastAsia="Times New Roman" w:cs="Arial" w:ascii="Arial" w:hAnsi="Arial"/>
          <w:color w:val="2C2E36"/>
          <w:sz w:val="24"/>
          <w:szCs w:val="24"/>
          <w:lang w:eastAsia="pl-PL"/>
        </w:rPr>
        <w:t>Poradnia Psychologiczno-Pedagogiczna Nr 2 zobowiązuje się zapewnić dostępność swojej strony internetowej zgodnie z przepisami ustawy z dnia 4 kwietnia 2019 r. o dostępności cyfrowej stron internetowych i aplikacji mobilnych podmiotów publicznych. Oświadczenie w sprawie dostępności ma zastosowanie do Biuletynu Informacji Publicznej Poradni Psychologiczno-Pedagogicznej Nr 2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76" w:before="0" w:after="0"/>
        <w:jc w:val="both"/>
        <w:rPr/>
      </w:pPr>
      <w:r>
        <w:rPr>
          <w:rFonts w:eastAsia="Times New Roman" w:cs="Arial" w:ascii="Arial" w:hAnsi="Arial"/>
          <w:color w:val="2C2E36"/>
          <w:sz w:val="24"/>
          <w:szCs w:val="24"/>
          <w:lang w:eastAsia="pl-PL"/>
        </w:rPr>
        <w:t>Data publikacji strony internetowej: 2017-04-15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76" w:before="0" w:after="0"/>
        <w:jc w:val="both"/>
        <w:rPr/>
      </w:pPr>
      <w:r>
        <w:rPr>
          <w:rFonts w:eastAsia="Times New Roman" w:cs="Arial" w:ascii="Arial" w:hAnsi="Arial"/>
          <w:color w:val="2C2E36"/>
          <w:sz w:val="24"/>
          <w:szCs w:val="24"/>
          <w:lang w:eastAsia="pl-PL"/>
        </w:rPr>
        <w:t>Data ostatniej istotnej aktualizacji: 2021-02-22</w:t>
      </w:r>
    </w:p>
    <w:p>
      <w:pPr>
        <w:pStyle w:val="Normal"/>
        <w:shd w:val="clear" w:color="auto" w:fill="FFFFFF"/>
        <w:spacing w:lineRule="auto" w:line="276" w:before="0" w:after="0"/>
        <w:jc w:val="both"/>
        <w:rPr/>
      </w:pPr>
      <w:r>
        <w:rPr/>
      </w:r>
    </w:p>
    <w:p>
      <w:pPr>
        <w:pStyle w:val="Normal"/>
        <w:shd w:val="clear" w:color="auto" w:fill="FFFFFF"/>
        <w:spacing w:lineRule="auto" w:line="276" w:before="0" w:after="0"/>
        <w:jc w:val="both"/>
        <w:rPr/>
      </w:pPr>
      <w:r>
        <w:rPr>
          <w:rFonts w:eastAsia="Times New Roman" w:cs="Arial" w:ascii="Arial" w:hAnsi="Arial"/>
          <w:b/>
          <w:bCs/>
          <w:color w:val="2C2E36"/>
          <w:sz w:val="24"/>
          <w:szCs w:val="24"/>
          <w:lang w:eastAsia="pl-PL"/>
        </w:rPr>
        <w:t>Status pod względem zgodności z ustawą</w:t>
      </w:r>
    </w:p>
    <w:p>
      <w:pPr>
        <w:pStyle w:val="Normal"/>
        <w:shd w:val="clear" w:color="auto" w:fill="FFFFFF"/>
        <w:spacing w:lineRule="auto" w:line="276"/>
        <w:jc w:val="both"/>
        <w:rPr/>
      </w:pPr>
      <w:r>
        <w:rPr>
          <w:rFonts w:eastAsia="Times New Roman" w:cs="Arial" w:ascii="Arial" w:hAnsi="Arial"/>
          <w:color w:val="2C2E36"/>
          <w:sz w:val="24"/>
          <w:szCs w:val="24"/>
          <w:lang w:eastAsia="pl-PL"/>
        </w:rPr>
        <w:t>Strona internetowa jest częściowo zgodna z ustawą o dostępności cyfrowej stron internetowych i aplikacji mobilnych podmiotów publicznych z powodu niezgodności lub włączeń</w:t>
      </w:r>
      <w:bookmarkStart w:id="0" w:name="_GoBack"/>
      <w:bookmarkEnd w:id="0"/>
      <w:r>
        <w:rPr>
          <w:rFonts w:eastAsia="Times New Roman" w:cs="Arial" w:ascii="Arial" w:hAnsi="Arial"/>
          <w:color w:val="2C2E36"/>
          <w:sz w:val="24"/>
          <w:szCs w:val="24"/>
          <w:lang w:eastAsia="pl-PL"/>
        </w:rPr>
        <w:t xml:space="preserve"> wymienionych poniżej:</w:t>
      </w:r>
    </w:p>
    <w:p>
      <w:pPr>
        <w:pStyle w:val="Normal"/>
        <w:shd w:val="clear" w:color="auto" w:fill="FFFFFF"/>
        <w:spacing w:lineRule="auto" w:line="276" w:before="0" w:after="0"/>
        <w:jc w:val="both"/>
        <w:rPr/>
      </w:pPr>
      <w:r>
        <w:rPr>
          <w:rFonts w:eastAsia="Times New Roman" w:cs="Arial" w:ascii="Arial" w:hAnsi="Arial"/>
          <w:color w:val="2C2E36"/>
          <w:sz w:val="24"/>
          <w:szCs w:val="24"/>
          <w:lang w:eastAsia="pl-PL"/>
        </w:rPr>
        <w:t>Treści niedostępne: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76" w:before="0" w:after="0"/>
        <w:jc w:val="both"/>
        <w:rPr/>
      </w:pPr>
      <w:r>
        <w:rPr>
          <w:rFonts w:eastAsia="Times New Roman" w:cs="Arial" w:ascii="Arial" w:hAnsi="Arial"/>
          <w:color w:val="2C2E36"/>
          <w:sz w:val="24"/>
          <w:szCs w:val="24"/>
          <w:lang w:eastAsia="pl-PL"/>
        </w:rPr>
        <w:t>Brak jest transkrypcji opisowej niektórych materiałów dźwiękowych.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76" w:before="0" w:after="0"/>
        <w:jc w:val="both"/>
        <w:rPr/>
      </w:pPr>
      <w:r>
        <w:rPr>
          <w:rFonts w:eastAsia="Times New Roman" w:cs="Arial" w:ascii="Arial" w:hAnsi="Arial"/>
          <w:color w:val="2C2E36"/>
          <w:sz w:val="24"/>
          <w:szCs w:val="24"/>
          <w:lang w:eastAsia="pl-PL"/>
        </w:rPr>
        <w:t>Niektóre linki mogą być dwuznaczne dla użytkowników i nie są wystarczająco opisane.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76" w:before="0" w:after="0"/>
        <w:jc w:val="both"/>
        <w:rPr/>
      </w:pPr>
      <w:r>
        <w:rPr>
          <w:rFonts w:eastAsia="Times New Roman" w:cs="Arial" w:ascii="Arial" w:hAnsi="Arial"/>
          <w:color w:val="2C2E36"/>
          <w:sz w:val="24"/>
          <w:szCs w:val="24"/>
          <w:lang w:eastAsia="pl-PL"/>
        </w:rPr>
        <w:t>Brak dostępności wszystkich funkcjonalności za pomocą klawiatury.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76" w:before="0" w:after="0"/>
        <w:jc w:val="both"/>
        <w:rPr/>
      </w:pPr>
      <w:r>
        <w:rPr>
          <w:rFonts w:eastAsia="Times New Roman" w:cs="Arial" w:ascii="Arial" w:hAnsi="Arial"/>
          <w:color w:val="2C2E36"/>
          <w:sz w:val="24"/>
          <w:szCs w:val="24"/>
          <w:lang w:eastAsia="pl-PL"/>
        </w:rPr>
        <w:t>Niektóre z zamieszczonych plików to graficzne pliki PDF.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76" w:before="0" w:after="0"/>
        <w:jc w:val="both"/>
        <w:rPr/>
      </w:pPr>
      <w:r>
        <w:rPr>
          <w:rFonts w:eastAsia="Times New Roman" w:cs="Arial" w:ascii="Arial" w:hAnsi="Arial"/>
          <w:color w:val="2C2E36"/>
          <w:sz w:val="24"/>
          <w:szCs w:val="24"/>
          <w:lang w:eastAsia="pl-PL"/>
        </w:rPr>
        <w:t>Niektóre informacje przedstawiono jedynie w formie graficznej.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76" w:before="0" w:after="0"/>
        <w:jc w:val="both"/>
        <w:rPr/>
      </w:pPr>
      <w:r>
        <w:rPr>
          <w:rFonts w:eastAsia="Times New Roman" w:cs="Arial" w:ascii="Arial" w:hAnsi="Arial"/>
          <w:color w:val="2C2E36"/>
          <w:sz w:val="24"/>
          <w:szCs w:val="24"/>
          <w:lang w:eastAsia="pl-PL"/>
        </w:rPr>
        <w:t>Część zdjęć nie posiada opisu alternatywnego.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76" w:before="0" w:after="0"/>
        <w:jc w:val="both"/>
        <w:rPr/>
      </w:pPr>
      <w:r>
        <w:rPr>
          <w:rFonts w:eastAsia="Times New Roman" w:cs="Arial" w:ascii="Arial" w:hAnsi="Arial"/>
          <w:color w:val="2C2E36"/>
          <w:sz w:val="24"/>
          <w:szCs w:val="24"/>
          <w:lang w:eastAsia="pl-PL"/>
        </w:rPr>
        <w:t>Na niektórych stronach brak jest odpowiedniej struktury nagłówkowej artykułów.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76" w:before="0" w:after="0"/>
        <w:jc w:val="both"/>
        <w:rPr/>
      </w:pPr>
      <w:r>
        <w:rPr>
          <w:rFonts w:eastAsia="Times New Roman" w:cs="Arial" w:ascii="Arial" w:hAnsi="Arial"/>
          <w:color w:val="2C2E36"/>
          <w:sz w:val="24"/>
          <w:szCs w:val="24"/>
          <w:lang w:eastAsia="pl-PL"/>
        </w:rPr>
        <w:t>Niektóre elementy tekstowe nie mają możliwości zmiany rozmiaru czcionki.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76" w:before="0" w:after="0"/>
        <w:jc w:val="both"/>
        <w:rPr/>
      </w:pPr>
      <w:r>
        <w:rPr>
          <w:rFonts w:eastAsia="Times New Roman" w:cs="Arial" w:ascii="Arial" w:hAnsi="Arial"/>
          <w:color w:val="2C2E36"/>
          <w:sz w:val="24"/>
          <w:szCs w:val="24"/>
          <w:lang w:eastAsia="pl-PL"/>
        </w:rPr>
        <w:t>Brak jest możliwości zmiany odstępów między wyrazami lub liniami tekstu.</w:t>
      </w:r>
    </w:p>
    <w:p>
      <w:pPr>
        <w:pStyle w:val="Normal"/>
        <w:shd w:val="clear" w:color="auto" w:fill="FFFFFF"/>
        <w:spacing w:lineRule="auto" w:line="276" w:before="0" w:after="0"/>
        <w:ind w:left="720" w:hanging="0"/>
        <w:jc w:val="both"/>
        <w:rPr/>
      </w:pPr>
      <w:r>
        <w:rPr/>
      </w:r>
    </w:p>
    <w:p>
      <w:pPr>
        <w:pStyle w:val="Normal"/>
        <w:shd w:val="clear" w:color="auto" w:fill="FFFFFF"/>
        <w:spacing w:lineRule="auto" w:line="276" w:before="0" w:after="0"/>
        <w:ind w:hanging="0"/>
        <w:jc w:val="both"/>
        <w:rPr/>
      </w:pPr>
      <w:r>
        <w:rPr>
          <w:rFonts w:eastAsia="Times New Roman" w:cs="Arial" w:ascii="Arial" w:hAnsi="Arial"/>
          <w:b/>
          <w:bCs/>
          <w:color w:val="2C2E36"/>
          <w:sz w:val="24"/>
          <w:szCs w:val="24"/>
          <w:lang w:eastAsia="pl-PL"/>
        </w:rPr>
        <w:t>Przygotowanie deklaracji w sprawie dostępności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76"/>
        <w:jc w:val="both"/>
        <w:rPr/>
      </w:pPr>
      <w:r>
        <w:rPr>
          <w:rFonts w:eastAsia="Times New Roman" w:cs="Arial" w:ascii="Arial" w:hAnsi="Arial"/>
          <w:color w:val="2C2E36"/>
          <w:sz w:val="24"/>
          <w:szCs w:val="24"/>
          <w:lang w:eastAsia="pl-PL"/>
        </w:rPr>
        <w:t>Deklarację sporządzono dnia: 2021-03-25</w:t>
      </w:r>
    </w:p>
    <w:p>
      <w:pPr>
        <w:pStyle w:val="Normal"/>
        <w:shd w:val="clear" w:color="auto" w:fill="FFFFFF"/>
        <w:spacing w:lineRule="auto" w:line="276"/>
        <w:ind w:left="720" w:hanging="0"/>
        <w:jc w:val="both"/>
        <w:rPr/>
      </w:pPr>
      <w:r>
        <w:rPr>
          <w:rFonts w:eastAsia="Times New Roman" w:cs="Arial" w:ascii="Arial" w:hAnsi="Arial"/>
          <w:color w:val="2C2E36"/>
          <w:sz w:val="24"/>
          <w:szCs w:val="24"/>
          <w:lang w:eastAsia="pl-PL"/>
        </w:rPr>
        <w:t>Deklarację sporządzono na podstawie samooceny.</w:t>
      </w:r>
    </w:p>
    <w:p>
      <w:pPr>
        <w:pStyle w:val="Normal"/>
        <w:shd w:val="clear" w:color="auto" w:fill="FFFFFF"/>
        <w:spacing w:lineRule="auto" w:line="276" w:before="0" w:after="0"/>
        <w:ind w:left="720" w:hanging="0"/>
        <w:jc w:val="both"/>
        <w:rPr/>
      </w:pPr>
      <w:r>
        <w:rPr/>
      </w:r>
    </w:p>
    <w:p>
      <w:pPr>
        <w:pStyle w:val="Normal"/>
        <w:shd w:val="clear" w:color="auto" w:fill="FFFFFF"/>
        <w:spacing w:lineRule="auto" w:line="276" w:before="0" w:after="0"/>
        <w:ind w:hanging="0"/>
        <w:jc w:val="both"/>
        <w:rPr/>
      </w:pPr>
      <w:r>
        <w:rPr>
          <w:rFonts w:eastAsia="Times New Roman" w:cs="Arial" w:ascii="Arial" w:hAnsi="Arial"/>
          <w:b/>
          <w:bCs/>
          <w:color w:val="2C2E36"/>
          <w:sz w:val="24"/>
          <w:szCs w:val="24"/>
          <w:lang w:eastAsia="pl-PL"/>
        </w:rPr>
        <w:t>Informacje zwrotne i dane kontaktowe</w:t>
      </w:r>
    </w:p>
    <w:p>
      <w:pPr>
        <w:pStyle w:val="Normal"/>
        <w:shd w:val="clear" w:color="auto" w:fill="FFFFFF"/>
        <w:spacing w:lineRule="auto" w:line="276" w:before="0" w:after="0"/>
        <w:ind w:left="720" w:hanging="0"/>
        <w:jc w:val="both"/>
        <w:rPr/>
      </w:pPr>
      <w:r>
        <w:rPr>
          <w:rFonts w:eastAsia="Times New Roman" w:cs="Arial" w:ascii="Arial" w:hAnsi="Arial"/>
          <w:color w:val="2C2E36"/>
          <w:sz w:val="24"/>
          <w:szCs w:val="24"/>
          <w:lang w:eastAsia="pl-PL"/>
        </w:rPr>
        <w:t>Osobą wyznaczoną do kontaktu w sprawie uwag i wniosków dotyczących strony internetowej jest Maciej Lichota.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76" w:before="0" w:after="0"/>
        <w:jc w:val="both"/>
        <w:rPr/>
      </w:pPr>
      <w:r>
        <w:rPr>
          <w:rFonts w:eastAsia="Times New Roman" w:cs="Arial" w:ascii="Arial" w:hAnsi="Arial"/>
          <w:color w:val="2C2E36"/>
          <w:sz w:val="24"/>
          <w:szCs w:val="24"/>
          <w:lang w:eastAsia="pl-PL"/>
        </w:rPr>
        <w:t>Telefon: 22 836 70 88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76" w:before="0" w:after="0"/>
        <w:jc w:val="both"/>
        <w:rPr/>
      </w:pPr>
      <w:r>
        <w:rPr>
          <w:rFonts w:eastAsia="Times New Roman" w:cs="Arial" w:ascii="Arial" w:hAnsi="Arial"/>
          <w:color w:val="2C2E36"/>
          <w:sz w:val="24"/>
          <w:szCs w:val="24"/>
          <w:lang w:eastAsia="pl-PL"/>
        </w:rPr>
        <w:t xml:space="preserve">Mail: </w:t>
      </w:r>
      <w:hyperlink r:id="rId2">
        <w:r>
          <w:rPr>
            <w:rStyle w:val="Czeinternetowe"/>
            <w:rFonts w:eastAsia="Times New Roman" w:cs="Arial" w:ascii="Arial" w:hAnsi="Arial"/>
            <w:color w:val="2C2E36"/>
            <w:sz w:val="24"/>
            <w:szCs w:val="24"/>
            <w:lang w:eastAsia="pl-PL"/>
          </w:rPr>
          <w:t>m</w:t>
        </w:r>
        <w:r>
          <w:rPr>
            <w:rStyle w:val="Czeinternetowe"/>
            <w:rFonts w:eastAsia="Times New Roman" w:cs="Arial" w:ascii="Arial" w:hAnsi="Arial"/>
            <w:color w:val="2C2E36"/>
            <w:sz w:val="24"/>
            <w:szCs w:val="24"/>
            <w:lang w:eastAsia="pl-PL"/>
          </w:rPr>
          <w:t>.</w:t>
        </w:r>
        <w:r>
          <w:rPr>
            <w:rStyle w:val="Czeinternetowe"/>
            <w:rFonts w:eastAsia="Times New Roman" w:cs="Arial" w:ascii="Arial" w:hAnsi="Arial"/>
            <w:color w:val="2C2E36"/>
            <w:sz w:val="24"/>
            <w:szCs w:val="24"/>
            <w:lang w:eastAsia="pl-PL"/>
          </w:rPr>
          <w:t>l</w:t>
        </w:r>
        <w:hyperlink r:id="rId3">
          <w:r>
            <w:rPr>
              <w:rStyle w:val="Czeinternetowe"/>
              <w:rFonts w:eastAsia="Times New Roman" w:cs="Arial" w:ascii="Arial" w:hAnsi="Arial"/>
              <w:color w:val="2C2E36"/>
              <w:sz w:val="24"/>
              <w:szCs w:val="24"/>
              <w:lang w:eastAsia="pl-PL"/>
            </w:rPr>
            <w:t>ichota@eduwarszawa.pl</w:t>
          </w:r>
        </w:hyperlink>
      </w:hyperlink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 w:before="0" w:after="0"/>
        <w:ind w:left="720" w:hanging="0"/>
        <w:jc w:val="both"/>
        <w:rPr>
          <w:rFonts w:ascii="Arial" w:hAnsi="Arial" w:eastAsia="Times New Roman" w:cs="Arial"/>
          <w:color w:val="2C2E36"/>
          <w:sz w:val="24"/>
          <w:szCs w:val="24"/>
          <w:lang w:eastAsia="pl-PL"/>
        </w:rPr>
      </w:pPr>
      <w:r>
        <w:rPr/>
      </w:r>
    </w:p>
    <w:p>
      <w:pPr>
        <w:pStyle w:val="Normal"/>
        <w:shd w:val="clear" w:color="auto" w:fill="FFFFFF"/>
        <w:spacing w:lineRule="auto" w:line="276" w:before="0" w:after="0"/>
        <w:ind w:left="720" w:hanging="0"/>
        <w:jc w:val="both"/>
        <w:rPr/>
      </w:pPr>
      <w:r>
        <w:rPr>
          <w:rFonts w:eastAsia="Times New Roman" w:cs="Arial" w:ascii="Arial" w:hAnsi="Arial"/>
          <w:color w:val="2C2E36"/>
          <w:sz w:val="24"/>
          <w:szCs w:val="24"/>
          <w:lang w:eastAsia="pl-PL"/>
        </w:rPr>
        <w:t>Każdy ma prawo: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76" w:before="0" w:after="0"/>
        <w:jc w:val="both"/>
        <w:rPr/>
      </w:pPr>
      <w:r>
        <w:rPr>
          <w:rFonts w:eastAsia="Times New Roman" w:cs="Arial" w:ascii="Arial" w:hAnsi="Arial"/>
          <w:color w:val="2C2E36"/>
          <w:sz w:val="24"/>
          <w:szCs w:val="24"/>
          <w:lang w:eastAsia="pl-PL"/>
        </w:rPr>
        <w:t>zgłosić uwagi dotyczące dostępności cyfrowej strony lub jej elementu,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76" w:before="0" w:after="0"/>
        <w:jc w:val="both"/>
        <w:rPr/>
      </w:pPr>
      <w:r>
        <w:rPr>
          <w:rFonts w:eastAsia="Times New Roman" w:cs="Arial" w:ascii="Arial" w:hAnsi="Arial"/>
          <w:color w:val="2C2E36"/>
          <w:sz w:val="24"/>
          <w:szCs w:val="24"/>
          <w:lang w:eastAsia="pl-PL"/>
        </w:rPr>
        <w:t>zgłosić żądanie zapewnienia dostępności cyfrowej strony lub jej elementu,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76" w:before="0" w:after="0"/>
        <w:jc w:val="both"/>
        <w:rPr/>
      </w:pPr>
      <w:r>
        <w:rPr>
          <w:rFonts w:eastAsia="Times New Roman" w:cs="Arial" w:ascii="Arial" w:hAnsi="Arial"/>
          <w:color w:val="2C2E36"/>
          <w:sz w:val="24"/>
          <w:szCs w:val="24"/>
          <w:lang w:eastAsia="pl-PL"/>
        </w:rPr>
        <w:t>wnioskować o udostępnienie niedostępnej informacji w innej alternatywnej formie.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 w:before="0" w:after="0"/>
        <w:ind w:left="720" w:hanging="0"/>
        <w:jc w:val="both"/>
        <w:rPr>
          <w:rFonts w:ascii="Arial" w:hAnsi="Arial" w:eastAsia="Times New Roman" w:cs="Arial"/>
          <w:color w:val="2C2E36"/>
          <w:sz w:val="24"/>
          <w:szCs w:val="24"/>
          <w:lang w:eastAsia="pl-PL"/>
        </w:rPr>
      </w:pPr>
      <w:r>
        <w:rPr/>
      </w:r>
    </w:p>
    <w:p>
      <w:pPr>
        <w:pStyle w:val="Normal"/>
        <w:shd w:val="clear" w:color="auto" w:fill="FFFFFF"/>
        <w:spacing w:lineRule="auto" w:line="276" w:before="0" w:after="0"/>
        <w:ind w:left="720" w:hanging="0"/>
        <w:jc w:val="both"/>
        <w:rPr/>
      </w:pPr>
      <w:r>
        <w:rPr>
          <w:rFonts w:eastAsia="Times New Roman" w:cs="Arial" w:ascii="Arial" w:hAnsi="Arial"/>
          <w:color w:val="2C2E36"/>
          <w:sz w:val="24"/>
          <w:szCs w:val="24"/>
          <w:lang w:eastAsia="pl-PL"/>
        </w:rPr>
        <w:t>Żądanie musi zawierać: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76" w:before="0" w:after="0"/>
        <w:jc w:val="both"/>
        <w:rPr/>
      </w:pPr>
      <w:r>
        <w:rPr>
          <w:rFonts w:eastAsia="Times New Roman" w:cs="Arial" w:ascii="Arial" w:hAnsi="Arial"/>
          <w:color w:val="2C2E36"/>
          <w:sz w:val="24"/>
          <w:szCs w:val="24"/>
          <w:lang w:eastAsia="pl-PL"/>
        </w:rPr>
        <w:t>dane kontaktowe osoby zgłaszającej,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76" w:before="0" w:after="0"/>
        <w:jc w:val="both"/>
        <w:rPr/>
      </w:pPr>
      <w:r>
        <w:rPr>
          <w:rFonts w:eastAsia="Times New Roman" w:cs="Arial" w:ascii="Arial" w:hAnsi="Arial"/>
          <w:color w:val="2C2E36"/>
          <w:sz w:val="24"/>
          <w:szCs w:val="24"/>
          <w:lang w:eastAsia="pl-PL"/>
        </w:rPr>
        <w:t>wskazanie strony lub elementu strony, której dotyczy żądanie,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76" w:before="0" w:after="0"/>
        <w:jc w:val="both"/>
        <w:rPr/>
      </w:pPr>
      <w:r>
        <w:rPr>
          <w:rFonts w:eastAsia="Times New Roman" w:cs="Arial" w:ascii="Arial" w:hAnsi="Arial"/>
          <w:color w:val="2C2E36"/>
          <w:sz w:val="24"/>
          <w:szCs w:val="24"/>
          <w:lang w:eastAsia="pl-PL"/>
        </w:rPr>
        <w:t>wskazanie dogodnej formy udostępnienia informacji, jeśli żądanie dotyczy udostępnienia w formie alternatywnej informacji niedostępnej.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 w:before="0" w:after="0"/>
        <w:ind w:left="720" w:hanging="0"/>
        <w:jc w:val="both"/>
        <w:rPr>
          <w:rFonts w:ascii="Arial" w:hAnsi="Arial" w:eastAsia="Times New Roman" w:cs="Arial"/>
          <w:color w:val="2C2E36"/>
          <w:sz w:val="24"/>
          <w:szCs w:val="24"/>
          <w:lang w:eastAsia="pl-PL"/>
        </w:rPr>
      </w:pPr>
      <w:r>
        <w:rPr/>
      </w:r>
    </w:p>
    <w:p>
      <w:pPr>
        <w:pStyle w:val="Normal"/>
        <w:shd w:val="clear" w:color="auto" w:fill="FFFFFF"/>
        <w:spacing w:lineRule="auto" w:line="276"/>
        <w:jc w:val="both"/>
        <w:rPr/>
      </w:pPr>
      <w:r>
        <w:rPr>
          <w:rFonts w:eastAsia="Times New Roman" w:cs="Arial" w:ascii="Arial" w:hAnsi="Arial"/>
          <w:color w:val="2C2E36"/>
          <w:sz w:val="24"/>
          <w:szCs w:val="24"/>
          <w:lang w:eastAsia="pl-PL"/>
        </w:rPr>
        <w:t>Rozpatrzenie zgłoszenia powinno nastąpić niezwłocznie, najpóźniej w ciągu 7 dni. Jeśli w tym terminie zapewnienie dostępności albo zapewnienie dostępu w alternatywnej formie nie jest możliwe, powinno nastąpić najdalej w ciągu 2 miesięcy od daty zgłoszenia.</w:t>
      </w: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Arial" w:ascii="Arial" w:hAnsi="Arial"/>
          <w:color w:val="2C2E36"/>
          <w:sz w:val="24"/>
          <w:szCs w:val="24"/>
          <w:lang w:eastAsia="pl-PL"/>
        </w:rPr>
        <w:t>Dostęp alternatywny do informacji zapewniony jest poprzez kontakt telefoniczny, korespondencyjnie, poprzez dostarczenie dokumentu drogą elektroniczną.</w:t>
      </w:r>
    </w:p>
    <w:p>
      <w:pPr>
        <w:pStyle w:val="Normal"/>
        <w:shd w:val="clear" w:color="auto" w:fill="FFFFFF"/>
        <w:spacing w:lineRule="auto" w:line="276" w:before="0" w:after="0"/>
        <w:jc w:val="both"/>
        <w:rPr/>
      </w:pPr>
      <w:r>
        <w:rPr>
          <w:rFonts w:eastAsia="Times New Roman" w:cs="Arial" w:ascii="Arial" w:hAnsi="Arial"/>
          <w:color w:val="2C2E36"/>
          <w:sz w:val="24"/>
          <w:szCs w:val="24"/>
          <w:lang w:eastAsia="pl-PL"/>
        </w:rPr>
        <w:t>Skargi i odwołania</w:t>
      </w:r>
    </w:p>
    <w:p>
      <w:pPr>
        <w:pStyle w:val="Normal"/>
        <w:shd w:val="clear" w:color="auto" w:fill="FFFFFF"/>
        <w:spacing w:lineRule="auto" w:line="276"/>
        <w:jc w:val="both"/>
        <w:rPr/>
      </w:pPr>
      <w:r>
        <w:rPr>
          <w:rFonts w:eastAsia="Times New Roman" w:cs="Arial" w:ascii="Arial" w:hAnsi="Arial"/>
          <w:color w:val="2C2E36"/>
          <w:sz w:val="24"/>
          <w:szCs w:val="24"/>
          <w:lang w:eastAsia="pl-PL"/>
        </w:rPr>
        <w:t>Na niedotrzymanie tych terminów oraz na odmowę realizacji żądania można złożyć skargę na takie działanie.</w:t>
      </w:r>
    </w:p>
    <w:p>
      <w:pPr>
        <w:pStyle w:val="Normal"/>
        <w:shd w:val="clear" w:color="auto" w:fill="FFFFFF"/>
        <w:spacing w:lineRule="auto" w:line="276"/>
        <w:jc w:val="both"/>
        <w:rPr/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Po wyczerpaniu wszystkich możliwości skargę można złożyć również do </w:t>
      </w:r>
      <w:hyperlink r:id="rId4">
        <w:r>
          <w:rPr>
            <w:rFonts w:eastAsia="Times New Roman" w:cs="Arial" w:ascii="Arial" w:hAnsi="Arial"/>
            <w:color w:val="0000FF"/>
            <w:sz w:val="24"/>
            <w:szCs w:val="24"/>
            <w:u w:val="single"/>
            <w:lang w:eastAsia="pl-PL"/>
          </w:rPr>
          <w:t>Rzecznika Praw Obywatelskich</w:t>
        </w:r>
      </w:hyperlink>
      <w:r>
        <w:rPr>
          <w:rFonts w:eastAsia="Times New Roman" w:cs="Arial" w:ascii="Arial" w:hAnsi="Arial"/>
          <w:color w:val="2C2E36"/>
          <w:sz w:val="24"/>
          <w:szCs w:val="24"/>
          <w:lang w:eastAsia="pl-PL"/>
        </w:rPr>
        <w:t>.</w:t>
      </w:r>
    </w:p>
    <w:p>
      <w:pPr>
        <w:pStyle w:val="Normal"/>
        <w:shd w:val="clear" w:color="auto" w:fill="FFFFFF"/>
        <w:spacing w:lineRule="auto" w:line="276" w:before="0" w:after="0"/>
        <w:jc w:val="both"/>
        <w:rPr/>
      </w:pPr>
      <w:r>
        <w:rPr/>
      </w:r>
    </w:p>
    <w:p>
      <w:pPr>
        <w:pStyle w:val="Normal"/>
        <w:shd w:val="clear" w:color="auto" w:fill="FFFFFF"/>
        <w:spacing w:lineRule="auto" w:line="276" w:before="0" w:after="0"/>
        <w:jc w:val="both"/>
        <w:rPr/>
      </w:pPr>
      <w:r>
        <w:rPr>
          <w:rFonts w:eastAsia="Times New Roman" w:cs="Arial" w:ascii="Arial" w:hAnsi="Arial"/>
          <w:b/>
          <w:bCs/>
          <w:color w:val="2C2E36"/>
          <w:sz w:val="24"/>
          <w:szCs w:val="24"/>
          <w:lang w:eastAsia="pl-PL"/>
        </w:rPr>
        <w:t>Dostępność architektoniczna</w:t>
      </w:r>
    </w:p>
    <w:p>
      <w:pPr>
        <w:pStyle w:val="Normal"/>
        <w:shd w:val="clear" w:color="auto" w:fill="FFFFFF"/>
        <w:spacing w:lineRule="auto" w:line="276" w:before="0" w:after="0"/>
        <w:jc w:val="both"/>
        <w:rPr/>
      </w:pPr>
      <w:r>
        <w:rPr>
          <w:rFonts w:eastAsia="Times New Roman" w:cs="Arial" w:ascii="Arial" w:hAnsi="Arial"/>
          <w:color w:val="2C2E36"/>
          <w:sz w:val="24"/>
          <w:szCs w:val="24"/>
          <w:u w:val="single"/>
          <w:lang w:eastAsia="pl-PL"/>
        </w:rPr>
        <w:t>Sposób dojazdu:</w:t>
      </w:r>
    </w:p>
    <w:p>
      <w:pPr>
        <w:pStyle w:val="Normal"/>
        <w:shd w:val="clear" w:color="auto" w:fill="FFFFFF"/>
        <w:spacing w:lineRule="auto" w:line="276"/>
        <w:jc w:val="both"/>
        <w:rPr/>
      </w:pPr>
      <w:r>
        <w:rPr>
          <w:rFonts w:eastAsia="Times New Roman" w:cs="Arial" w:ascii="Arial" w:hAnsi="Arial"/>
          <w:color w:val="2C2E36"/>
          <w:sz w:val="24"/>
          <w:szCs w:val="24"/>
          <w:lang w:eastAsia="pl-PL"/>
        </w:rPr>
        <w:t>Poradnia mieści się w budynku przy ulicy Karolkowej 53 A.</w:t>
      </w:r>
    </w:p>
    <w:p>
      <w:pPr>
        <w:pStyle w:val="Normal"/>
        <w:shd w:val="clear" w:color="auto" w:fill="FFFFFF"/>
        <w:spacing w:lineRule="auto" w:line="276" w:before="0" w:after="0"/>
        <w:jc w:val="both"/>
        <w:rPr/>
      </w:pPr>
      <w:r>
        <w:rPr>
          <w:rFonts w:eastAsia="Times New Roman" w:cs="Arial" w:ascii="Arial" w:hAnsi="Arial"/>
          <w:color w:val="2C2E36"/>
          <w:sz w:val="24"/>
          <w:szCs w:val="24"/>
          <w:lang w:eastAsia="pl-PL"/>
        </w:rPr>
        <w:t>W pobliżu znajdują się:</w:t>
      </w:r>
    </w:p>
    <w:p>
      <w:pPr>
        <w:pStyle w:val="Normal"/>
        <w:shd w:val="clear" w:color="auto" w:fill="FFFFFF"/>
        <w:spacing w:lineRule="auto" w:line="276" w:before="0" w:after="0"/>
        <w:jc w:val="both"/>
        <w:rPr/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W odległości ok 50 m przy Al. Solidarności oraz odległości  150 m przy ulicy Młynarskiej znajdują się dogodne połączenia zarówno autobusowe, jak  i tramwajowe ze ścisłym centrum miasta, jak i bardziej odległymi częściami Warszawy. W odległości ok </w:t>
      </w:r>
      <w:r>
        <w:rPr>
          <w:rFonts w:eastAsia="Times New Roman" w:cs="Arial" w:ascii="Arial" w:hAnsi="Arial"/>
          <w:color w:val="2C2E36"/>
          <w:sz w:val="24"/>
          <w:szCs w:val="24"/>
          <w:lang w:eastAsia="pl-PL"/>
        </w:rPr>
        <w:t>600 m znajduje się stacja II linii metra.</w:t>
      </w:r>
    </w:p>
    <w:p>
      <w:pPr>
        <w:pStyle w:val="Normal"/>
        <w:spacing w:lineRule="auto" w:line="276" w:before="0" w:after="150"/>
        <w:rPr/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Możliwość parkowania w wyznaczonych strefach. Wjazd na teren Poradni możliwy od strony ulicy Karolkowej.</w:t>
      </w:r>
    </w:p>
    <w:p>
      <w:pPr>
        <w:pStyle w:val="Normal"/>
        <w:shd w:val="clear" w:color="auto" w:fill="FFFFFF"/>
        <w:spacing w:lineRule="auto" w:line="276"/>
        <w:jc w:val="both"/>
        <w:rPr/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Planowane jest w części zachodniej  zmodernizowanie parkingu naziemnego na 46 miejsc postojowych, w tym dwa dla osób niepełnosprawnych.</w:t>
      </w:r>
    </w:p>
    <w:p>
      <w:pPr>
        <w:pStyle w:val="Normal"/>
        <w:spacing w:lineRule="auto" w:line="276" w:before="0" w:after="0"/>
        <w:rPr/>
      </w:pPr>
      <w:r>
        <w:rPr/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Times New Roman" w:cs="Arial" w:ascii="Arial" w:hAnsi="Arial"/>
          <w:b/>
          <w:bCs/>
          <w:color w:val="2C2E36"/>
          <w:sz w:val="24"/>
          <w:szCs w:val="24"/>
          <w:lang w:eastAsia="pl-PL"/>
        </w:rPr>
        <w:t>Wejście do budynku i strefa obsługi klientów</w:t>
      </w:r>
    </w:p>
    <w:p>
      <w:pPr>
        <w:pStyle w:val="Normal"/>
        <w:shd w:val="clear" w:color="auto" w:fill="FFFFFF"/>
        <w:spacing w:lineRule="auto" w:line="276" w:before="0" w:after="0"/>
        <w:jc w:val="both"/>
        <w:rPr/>
      </w:pPr>
      <w:r>
        <w:rPr>
          <w:rFonts w:eastAsia="Times New Roman" w:cs="Arial" w:ascii="Arial" w:hAnsi="Arial"/>
          <w:color w:val="2C2E36"/>
          <w:sz w:val="24"/>
          <w:szCs w:val="24"/>
          <w:lang w:eastAsia="pl-PL"/>
        </w:rPr>
        <w:t>Główne wejście do budynku jest wyposażone w drzwi dwuskrzydłowe przeszklone i znajduje się od strony zachodniej. Dostosowane jest dla osób niepełnosprawnych i wózków dziecięcych – podjazd.</w:t>
      </w:r>
    </w:p>
    <w:p>
      <w:pPr>
        <w:pStyle w:val="Normal"/>
        <w:shd w:val="clear" w:color="auto" w:fill="FFFFFF"/>
        <w:spacing w:lineRule="auto" w:line="276"/>
        <w:jc w:val="both"/>
        <w:rPr/>
      </w:pPr>
      <w:r>
        <w:rPr>
          <w:rFonts w:eastAsia="Times New Roman" w:cs="Arial" w:ascii="Arial" w:hAnsi="Arial"/>
          <w:color w:val="2C2E36"/>
          <w:sz w:val="24"/>
          <w:szCs w:val="24"/>
          <w:lang w:eastAsia="pl-PL"/>
        </w:rPr>
        <w:t>Wewnątrz budynku, przy wejściu jest wiatrołap. Za nim znajduje się recepcja i poczekalnia dla klientów wraz z toaletą dostosowaną  dla osób niepełnosprawnych.</w:t>
      </w:r>
    </w:p>
    <w:p>
      <w:pPr>
        <w:pStyle w:val="Normal"/>
        <w:shd w:val="clear" w:color="auto" w:fill="FFFFFF"/>
        <w:spacing w:lineRule="auto" w:line="276"/>
        <w:jc w:val="both"/>
        <w:rPr/>
      </w:pPr>
      <w:r>
        <w:rPr>
          <w:rFonts w:eastAsia="Times New Roman" w:cs="Arial" w:ascii="Arial" w:hAnsi="Arial"/>
          <w:color w:val="2C2E36"/>
          <w:sz w:val="24"/>
          <w:szCs w:val="24"/>
          <w:lang w:eastAsia="pl-PL"/>
        </w:rPr>
        <w:t>Klienci obsługiwani są na parterze (sekretariat i gabinety) i I piętrze (gabinety)</w:t>
      </w:r>
    </w:p>
    <w:p>
      <w:pPr>
        <w:pStyle w:val="Normal"/>
        <w:shd w:val="clear" w:color="auto" w:fill="FFFFFF"/>
        <w:spacing w:lineRule="auto" w:line="276"/>
        <w:jc w:val="both"/>
        <w:rPr/>
      </w:pPr>
      <w:r>
        <w:rPr>
          <w:rFonts w:eastAsia="Times New Roman" w:cs="Arial" w:ascii="Arial" w:hAnsi="Arial"/>
          <w:color w:val="2C2E36"/>
          <w:sz w:val="24"/>
          <w:szCs w:val="24"/>
          <w:lang w:eastAsia="pl-PL"/>
        </w:rPr>
        <w:t>W budynku nie ma oznaczeń brajlowskich. Brak pętli indukcyjnych w budynku. Możliwy jest wstęp z psem asystującym do wszystkich pomieszczeń budynku.</w:t>
      </w:r>
    </w:p>
    <w:p>
      <w:pPr>
        <w:pStyle w:val="Normal"/>
        <w:shd w:val="clear" w:color="auto" w:fill="FFFFFF"/>
        <w:spacing w:lineRule="auto" w:line="276"/>
        <w:jc w:val="both"/>
        <w:rPr/>
      </w:pPr>
      <w:r>
        <w:rPr>
          <w:rFonts w:eastAsia="Times New Roman" w:cs="Arial" w:ascii="Arial" w:hAnsi="Arial"/>
          <w:color w:val="2C2E36"/>
          <w:sz w:val="24"/>
          <w:szCs w:val="24"/>
          <w:lang w:eastAsia="pl-PL"/>
        </w:rPr>
        <w:t>Droga ewakuacyjna jest wyraźnie oznakowana, odbywa się klatką schodową.</w:t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Times New Roman" w:cs="Arial" w:ascii="Arial" w:hAnsi="Arial"/>
          <w:bCs/>
          <w:color w:val="000000" w:themeColor="text1"/>
          <w:sz w:val="24"/>
          <w:szCs w:val="24"/>
          <w:lang w:eastAsia="pl-PL"/>
        </w:rPr>
        <w:t>Udogodnienia:</w:t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Times New Roman" w:cs="Arial" w:ascii="Arial" w:hAnsi="Arial"/>
          <w:bCs/>
          <w:color w:val="000000" w:themeColor="text1"/>
          <w:sz w:val="24"/>
          <w:szCs w:val="24"/>
          <w:lang w:eastAsia="pl-PL"/>
        </w:rPr>
        <w:t>O działalności Poradni Psychologiczno – Pedagogicznej Nr 2 możemy dowiedzieć się przy pomocy Polskiego Języka Migowego PJM.</w:t>
      </w:r>
    </w:p>
    <w:p>
      <w:pPr>
        <w:pStyle w:val="Normal"/>
        <w:spacing w:lineRule="auto" w:line="276"/>
        <w:jc w:val="both"/>
        <w:rPr/>
      </w:pPr>
      <w:r>
        <w:rPr>
          <w:rFonts w:eastAsia="Times New Roman" w:cs="Arial" w:ascii="Arial" w:hAnsi="Arial"/>
          <w:bCs/>
          <w:color w:val="000000" w:themeColor="text1"/>
          <w:sz w:val="24"/>
          <w:szCs w:val="24"/>
          <w:lang w:eastAsia="pl-PL"/>
        </w:rPr>
        <w:t>Poradnia Psychologiczno - Pedagogiczna Nr 2  zapewnia możliwość skorzystania z tłumacza języka migowego (PJM) on - line.</w:t>
      </w:r>
    </w:p>
    <w:p>
      <w:pPr>
        <w:pStyle w:val="Normal"/>
        <w:spacing w:lineRule="auto" w:line="276" w:before="0" w:after="160"/>
        <w:jc w:val="both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aa53d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a53d1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aa53d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.lichota@eduwarszawa.pl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s://www.rpo.gov.pl/content/jak-zglosic-sie-do-rzecznika-praw-obywatelskich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LibreOffice/7.3.7.2$Windows_X86_64 LibreOffice_project/e114eadc50a9ff8d8c8a0567d6da8f454beeb84f</Application>
  <AppVersion>15.0000</AppVersion>
  <Pages>3</Pages>
  <Words>596</Words>
  <Characters>3911</Characters>
  <CharactersWithSpaces>4441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2023-02-24T12:52:00Z</dcterms:created>
  <dc:creator>Ewa Ślarzyńska</dc:creator>
  <dc:description/>
  <dc:language>pl-PL</dc:language>
  <cp:lastModifiedBy/>
  <dcterms:modified xsi:type="dcterms:W3CDTF">2023-02-27T22:32:17Z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